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object w:dxaOrig="8940" w:dyaOrig="126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09.85pt;height:778.6pt" o:ole="">
            <v:imagedata r:id="rId7" o:title=""/>
          </v:shape>
          <o:OLEObject Type="Embed" ProgID="Acrobat.Document.11" ShapeID="_x0000_i1025" DrawAspect="Content" ObjectID="_1743407808" r:id="rId8"/>
        </w:object>
      </w:r>
      <w:r>
        <w:rPr>
          <w:rFonts w:ascii="Times New Roman" w:hAnsi="Times New Roman" w:cs="Times New Roman"/>
          <w:b/>
          <w:sz w:val="28"/>
          <w:szCs w:val="28"/>
        </w:rPr>
        <w:t>ПОЯСНИТЕЛЬНАЯ ЗАПИСКА</w:t>
      </w:r>
    </w:p>
    <w:p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к учебному плану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муниципального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бюджетного общеобразовательного </w:t>
      </w:r>
    </w:p>
    <w:p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учреждения «Новочершилинская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начальная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школа-детский сад»</w:t>
      </w:r>
    </w:p>
    <w:p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муниципального образования «Лениногорский муниципальный район» </w:t>
      </w:r>
    </w:p>
    <w:p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Республики Татарстан на 2022-2023 учебный год</w:t>
      </w:r>
    </w:p>
    <w:p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Учебный план – документ, который является частью ООП МБОУ «Новочершилинская начальная </w:t>
      </w:r>
      <w:proofErr w:type="gramStart"/>
      <w:r>
        <w:rPr>
          <w:rFonts w:ascii="Times New Roman" w:hAnsi="Times New Roman" w:cs="Times New Roman"/>
          <w:sz w:val="28"/>
          <w:szCs w:val="28"/>
        </w:rPr>
        <w:t>школа-детский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сад» и определяет перечень, трудоемкость, последовательность и распределение  по периодам обучения учебных предметов, курсов, дисциплин (модулей), иных видов учебной деятельности, формы промежуточной аттестации обучающихся.</w:t>
      </w:r>
    </w:p>
    <w:p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Учебный план МБОУ «Новочершилинская </w:t>
      </w:r>
      <w:proofErr w:type="gramStart"/>
      <w:r>
        <w:rPr>
          <w:rFonts w:ascii="Times New Roman" w:hAnsi="Times New Roman" w:cs="Times New Roman"/>
          <w:sz w:val="28"/>
          <w:szCs w:val="28"/>
        </w:rPr>
        <w:t>начальная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школа-детский сад » разработан в соответствии:</w:t>
      </w:r>
    </w:p>
    <w:p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 Законом Российской Федерации (от 29.12.2012г. № 273-ФЗ) «Об образовании в Российской Федерации»;</w:t>
      </w:r>
    </w:p>
    <w:p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 Законом Российской Федерации от 24.07.1998г. № 126-ФЗ (в действующей редакции) «О языках народов Российской Федерации»;</w:t>
      </w:r>
    </w:p>
    <w:p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с Законом Республики Татарстан «Об образовании» (от 22.07.2013 № 68-ЗРТ); </w:t>
      </w:r>
    </w:p>
    <w:p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с Законом Республики Татарстан «О государственных языках  Республики Татарстан и других языках  в Республике Татарстан» (от 18.07.2004г. № 443РТ); </w:t>
      </w:r>
    </w:p>
    <w:p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- с Уставом школы.</w:t>
      </w:r>
    </w:p>
    <w:p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Учебный план МБОУ «Новочершилинская </w:t>
      </w:r>
      <w:proofErr w:type="gramStart"/>
      <w:r>
        <w:rPr>
          <w:rFonts w:ascii="Times New Roman" w:hAnsi="Times New Roman" w:cs="Times New Roman"/>
          <w:sz w:val="28"/>
          <w:szCs w:val="28"/>
        </w:rPr>
        <w:t>начальная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школа-детский сад» разработан на основе:</w:t>
      </w:r>
    </w:p>
    <w:p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Российской Федерации от 06.10.2009г. № 373 (далее – ФГОС НОО) с изменениями и дополнениями;</w:t>
      </w:r>
    </w:p>
    <w:p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Федерального государственного образовательного стандарта начального общего образования, утвержденного приказом Министерства просвещения Российской Федерации от 31.05.2021г. № 286 (далее – обновленный ФГОС НОО);</w:t>
      </w:r>
    </w:p>
    <w:p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Приказом Министерства просвещения Российской Федерации от 18.07.2022 № 569 «О внесении изменений в федеральный государственный образовательный стандарт» </w:t>
      </w:r>
    </w:p>
    <w:p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Письма Министерства просвещения Российской Федерации от 23.08.2022г. № 03-1221 «О направлении информации»</w:t>
      </w:r>
    </w:p>
    <w:p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 Министерства образования и науки Российской Федерации от 30.08.2013г. № 1015; </w:t>
      </w:r>
    </w:p>
    <w:p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федерального перечня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 государственную аккредитацию;</w:t>
      </w:r>
    </w:p>
    <w:p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Постановления Главного государственного санитарного врача Российской Федерации от 28.09.2020 №28 «Об утверждении санитарных правил СП 2.4.3648-20 «Санитарно-эпидемиологические требования к организациям воспитания и обучения, отдыха и оздоровления детей и молодежи» (зарегистрировано в Минюсте России 18.12.2020 №61573);</w:t>
      </w:r>
    </w:p>
    <w:p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Постановления Главного государственного санитарного врача Российской Федерации от 28.01.2021 №4 «Об утверждении санитарных правил и норм СанПиН 3.3686-21 «Санитарно-эпидемиологические требования по профилактике инфекционных болезней» (зарегистрировано в Минюсте России 15.02.2021 №62500);</w:t>
      </w:r>
    </w:p>
    <w:p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Письма Министерства образования и науки Российской Федерации от 7 августа 2015 года № 08-1228 «О направлении рекомендаций»;</w:t>
      </w:r>
    </w:p>
    <w:p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Письма Минобрнауки России от 25.05.2015 г. № 08-761 «Об изучении предметных областей: «Основы религиозных культур и светской этики» и «Основы духовно-нравственной культуры народов России»;</w:t>
      </w:r>
    </w:p>
    <w:p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Основной образовательной  программы начального общего образования муниципального бюджетного общеобразовательного учреждения «Новочершилинская </w:t>
      </w:r>
      <w:proofErr w:type="gramStart"/>
      <w:r>
        <w:rPr>
          <w:rFonts w:ascii="Times New Roman" w:hAnsi="Times New Roman" w:cs="Times New Roman"/>
          <w:sz w:val="28"/>
          <w:szCs w:val="28"/>
        </w:rPr>
        <w:t>начальная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школа-детский сад» муниципального образования «Лениногорский муниципальный район» Республики Татарстан;</w:t>
      </w:r>
    </w:p>
    <w:p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- Годового 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календарного учебного графика </w:t>
      </w:r>
      <w:r>
        <w:rPr>
          <w:rFonts w:ascii="Times New Roman" w:hAnsi="Times New Roman" w:cs="Times New Roman"/>
          <w:sz w:val="28"/>
          <w:szCs w:val="28"/>
        </w:rPr>
        <w:t xml:space="preserve">муниципального бюджетного общеобразовательного учреждения «Новочершилинская начальная </w:t>
      </w:r>
      <w:proofErr w:type="gramStart"/>
      <w:r>
        <w:rPr>
          <w:rFonts w:ascii="Times New Roman" w:hAnsi="Times New Roman" w:cs="Times New Roman"/>
          <w:sz w:val="28"/>
          <w:szCs w:val="28"/>
        </w:rPr>
        <w:t>школа-детский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сад» </w:t>
      </w:r>
      <w:r>
        <w:rPr>
          <w:rFonts w:ascii="Times New Roman" w:hAnsi="Times New Roman" w:cs="Times New Roman"/>
          <w:bCs/>
          <w:sz w:val="28"/>
          <w:szCs w:val="28"/>
        </w:rPr>
        <w:t>муниципального образования «Лениногорский муниципальный район» Республики Татарстан на 2022 – 2023 учебный год.</w:t>
      </w:r>
    </w:p>
    <w:p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>
      <w:pPr>
        <w:shd w:val="clear" w:color="auto" w:fill="FFFFFF"/>
        <w:ind w:firstLine="567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>
      <w:pPr>
        <w:shd w:val="clear" w:color="auto" w:fill="FFFFFF"/>
        <w:ind w:firstLine="567"/>
        <w:contextualSpacing/>
        <w:jc w:val="both"/>
        <w:rPr>
          <w:b/>
          <w:sz w:val="28"/>
          <w:szCs w:val="28"/>
        </w:rPr>
      </w:pPr>
    </w:p>
    <w:p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proofErr w:type="gramStart"/>
      <w:r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 начального общего образования Муниципальное бюджетное общеобразовательное учреждение "Новочершилинская общеобразовательная начальная школа-детский сад"" муниципального образования ""Лениногорский муниципальный район"" РТ"</w:t>
      </w:r>
      <w:r>
        <w:rPr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(далее - учебный план) для 1-4 классов, реализующих основную образовательную программу начального общего образования, соответствующую ФГОС НОО (приказ Министерства просвещения Российской Федерации от 31.05.2021 № 286 «Об утверждении федерального государственного образовательного стандарта начального общего образования»), фиксирует общий объём нагрузки, максимальный объём аудиторной</w:t>
      </w:r>
      <w:proofErr w:type="gramEnd"/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 Муниципальное бюджетное общеобразовательное учреждение "Новочершилинская общеобразовательная начальная школа-детский сад"" муниципального образования ""Лениногорский муниципальный район"" РТ", разработанной в соответствии с ФГОС начального общего образования, с учетом примерных основных образовательных программ начального общего образования, и обеспечивает выполнение санитарно-эпидемиологических требований СП 2.4.3648-20 и гигиенических нормативов и требований СанПиН 1.2.3685-21.</w:t>
      </w:r>
    </w:p>
    <w:p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Учебный год в Муниципальное бюджетное общеобразовательное учреждение "Новочершилинская общеобразовательная начальная школа-детский сад"" муниципального образования ""Лениногорский муниципальный район"" РТ"</w:t>
      </w:r>
      <w:r>
        <w:rPr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начинается </w:t>
      </w:r>
      <w:r>
        <w:rPr>
          <w:rFonts w:asciiTheme="majorBidi" w:hAnsiTheme="majorBidi" w:cstheme="majorBidi"/>
          <w:sz w:val="28"/>
          <w:szCs w:val="28"/>
        </w:rPr>
        <w:t xml:space="preserve">01.09.2022 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>
        <w:rPr>
          <w:rFonts w:asciiTheme="majorBidi" w:hAnsiTheme="majorBidi" w:cstheme="majorBidi"/>
          <w:sz w:val="28"/>
          <w:szCs w:val="28"/>
        </w:rPr>
        <w:t xml:space="preserve">25.05.2022. </w:t>
      </w:r>
    </w:p>
    <w:p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Продолжительность учебного года в 1 классе - 33 </w:t>
      </w:r>
      <w:proofErr w:type="gramStart"/>
      <w:r>
        <w:rPr>
          <w:rStyle w:val="markedcontent"/>
          <w:rFonts w:asciiTheme="majorBidi" w:hAnsiTheme="majorBidi" w:cstheme="majorBidi"/>
          <w:sz w:val="28"/>
          <w:szCs w:val="28"/>
        </w:rPr>
        <w:t>учебные</w:t>
      </w:r>
      <w:proofErr w:type="gramEnd"/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недели во 2-4 классах – 34 учебных недели. </w:t>
      </w:r>
    </w:p>
    <w:p>
      <w:pPr>
        <w:shd w:val="clear" w:color="auto" w:fill="FFFFFF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Учебный год делится на четыре учебные четверти, неравные по продолжительности. </w:t>
      </w:r>
    </w:p>
    <w:p>
      <w:pPr>
        <w:shd w:val="clear" w:color="auto" w:fill="FFFFFF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Обучение в первом классе осуществляется с использованием «ступенчатого» режима обучения в 1-ом полугодии. В сентябре, октябре проводятся по 3 урока в день по 35 минут каждый, остальное время заполняется целевыми прогулками, экскурсиями, физкультурными занятиями, развивающими играми. Чтобы выполнить задачу снятия статического напряжения школьников, предлагается на 4-х уроках использовать не классно-урочную, а иные формы организации учебного процесса. В течение 8 недель учитель может планировать последними часами уроки физической культуры, а также уроки по другим предметам в форме </w:t>
      </w:r>
      <w:r>
        <w:rPr>
          <w:rFonts w:ascii="Times New Roman" w:hAnsi="Times New Roman" w:cs="Times New Roman"/>
          <w:i/>
          <w:sz w:val="28"/>
          <w:szCs w:val="28"/>
        </w:rPr>
        <w:t xml:space="preserve">уроков-игр, уроков-театрализаций, уроков-экскурсий, уроков-импровизаций и т.п.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В ноябре, декабре проводятся по 4 урока по 35 минут каждый, во 2-ом полугодии (январь - май) – по 4 урока по 40 минут каждый, и 1 день в неделю – не более 5 уроков, за счет уроков физической культуры, в середине учебного дня для </w:t>
      </w:r>
      <w:r>
        <w:rPr>
          <w:rFonts w:ascii="Times New Roman" w:hAnsi="Times New Roman" w:cs="Times New Roman"/>
          <w:sz w:val="28"/>
          <w:szCs w:val="28"/>
        </w:rPr>
        <w:lastRenderedPageBreak/>
        <w:t>учащихся 1-х классов проводится динамическая пауза продолжительностью не менее 40 минут.</w:t>
      </w:r>
      <w:proofErr w:type="gramEnd"/>
    </w:p>
    <w:p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Максимальный объем аудиторной нагрузки обучающихся в неделю составляет  в 1 классе - 21 час, во 2 – 4 классах – 26 часов</w:t>
      </w:r>
      <w:proofErr w:type="gramStart"/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.</w:t>
      </w:r>
      <w:proofErr w:type="gramEnd"/>
    </w:p>
    <w:p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составляет:</w:t>
      </w:r>
    </w:p>
    <w:p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для обучающихся 1-х классов - не превышает 4 уроков и один раз в неделю -5 уроков.</w:t>
      </w:r>
    </w:p>
    <w:p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для обучающихся 2-4 классов - не более 5 уроков.</w:t>
      </w:r>
    </w:p>
    <w:p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Распределение учебной нагрузки в течение недели строится таким образом, чтобы наибольший ее объем приходился на вторник и (или) среду. На эти дни в расписание уроков включаются предметы, соответствующие наивысшему баллу по шкале трудности либо со средним баллом и наименьшим баллом по шкале трудности, но в большем количестве, чем в остальные дни недели. </w:t>
      </w:r>
    </w:p>
    <w:p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Изложение нового материала, контрольные работы проводятся на 2 - 4-х уроках в середине учебной недели. Продолжительность урока (академический час) составляет </w:t>
      </w:r>
      <w:r>
        <w:rPr>
          <w:rFonts w:asciiTheme="majorBidi" w:hAnsiTheme="majorBidi" w:cstheme="majorBidi"/>
          <w:sz w:val="28"/>
          <w:szCs w:val="28"/>
        </w:rPr>
        <w:t>45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минут, за исключением 1 класса.</w:t>
      </w:r>
    </w:p>
    <w:p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Обучение в 1-м классе осуществляется с соблюдением следующих дополнительных требований: </w:t>
      </w:r>
    </w:p>
    <w:p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учебные занятия проводятся по 5-дневной учебной неделе и только в первую смену;</w:t>
      </w:r>
    </w:p>
    <w:p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использование «ступенчатого» режима обучения в первом полугодии (в сентябре, октябре - по 3 урока в день по 35 минут каждый, в ноябре-декабре - по 4 урока по 35 минут каждый; январь - май - по 4 урока по 40 минут каждый).</w:t>
      </w:r>
    </w:p>
    <w:p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Продолжительность выполнения домашних заданий составляет во 2-3 классах - 1,5 ч., в 4 классах - 2 ч.</w:t>
      </w:r>
    </w:p>
    <w:p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С целью профилактики переутомления в календарном учебном графике предусматривается чередование периодов учебного времени, сессий и каникул.  Продолжительность каникул в течение учебного года составляет не менее 30 календарных дней, летом — не менее 8 недель. Для первоклассников предусмотрены дополнительные недельные каникулы в середине третьей четверти.</w:t>
      </w:r>
    </w:p>
    <w:p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Учебные занятия для учащихся 2-4 классов проводятся по 6-ти дневной учебной неделе.</w:t>
      </w:r>
    </w:p>
    <w:p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В Муниципальном бюджетном общеобразовательном учреждении "Новочершилинская </w:t>
      </w:r>
      <w:proofErr w:type="gramStart"/>
      <w:r>
        <w:rPr>
          <w:rStyle w:val="markedcontent"/>
          <w:rFonts w:asciiTheme="majorBidi" w:hAnsiTheme="majorBidi" w:cstheme="majorBidi"/>
          <w:sz w:val="28"/>
          <w:szCs w:val="28"/>
        </w:rPr>
        <w:t>общеобразовательная</w:t>
      </w:r>
      <w:proofErr w:type="gramEnd"/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начальная школа-детский сад"" муниципального образования ""Лениногорский муниципальный район"" РТ"</w:t>
      </w:r>
      <w:r>
        <w:rPr>
          <w:rFonts w:asciiTheme="majorBidi" w:hAnsiTheme="majorBidi" w:cstheme="majorBidi"/>
          <w:sz w:val="28"/>
          <w:szCs w:val="28"/>
        </w:rPr>
        <w:t xml:space="preserve">  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языком обучения является </w:t>
      </w:r>
      <w:r>
        <w:rPr>
          <w:rFonts w:asciiTheme="majorBidi" w:hAnsiTheme="majorBidi" w:cstheme="majorBidi"/>
          <w:sz w:val="28"/>
          <w:szCs w:val="28"/>
        </w:rPr>
        <w:t>Русский язык.</w:t>
      </w:r>
    </w:p>
    <w:p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При изучении предметной области «Основы религиозных культур и светской этики» выбор одного из учебных модулей осуществляются по заявлению родителей (законных представителей) несовершеннолетних обучающихся.</w:t>
      </w:r>
    </w:p>
    <w:p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предметов </w:t>
      </w:r>
      <w:r>
        <w:rPr>
          <w:rStyle w:val="markedcontent"/>
          <w:rFonts w:asciiTheme="majorBidi" w:hAnsiTheme="majorBidi" w:cstheme="majorBidi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осуществляется деление учащихся на подгруппы.</w:t>
      </w:r>
    </w:p>
    <w:p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 – процедура, проводимая с целью оценки качества освоения обучающимися части содержания (четвертное оценивание) или всего объема учебной дисциплины за учебный год (годовое оценивание).</w:t>
      </w:r>
    </w:p>
    <w:p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Промежуточная/годовая аттестация обучающихся за четверть осуществляется в соответствии с календарным учебным графиком.</w:t>
      </w:r>
    </w:p>
    <w:p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Все предметы обязательной части учебного плана оцениваются по четвертям. Предметы из части, формируемой участниками образовательных отношений, являются безотметочными и оцениваются «зачет» или «незачет» по итогам четверти. </w:t>
      </w:r>
    </w:p>
    <w:p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 проходит на последней учебной неделе четверти. Формы и порядок проведения промежуточной аттестации определяются «Положением о формах, периодичности и порядке</w:t>
      </w:r>
      <w:r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аттестации обучающихся Муниципальное бюджетное общеобразовательное учреждение "Новочершилинская общеобразовательная начальная школа-детский сад"" муниципального образования ""Лениногорский муниципальный район"" РТ". </w:t>
      </w:r>
    </w:p>
    <w:p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Оценивание младших школьников в течение первого года обучения осуществляются в форме словесных качественных оценок на </w:t>
      </w:r>
      <w:proofErr w:type="spellStart"/>
      <w:r>
        <w:rPr>
          <w:rStyle w:val="markedcontent"/>
          <w:rFonts w:asciiTheme="majorBidi" w:hAnsiTheme="majorBidi" w:cstheme="majorBidi"/>
          <w:sz w:val="28"/>
          <w:szCs w:val="28"/>
        </w:rPr>
        <w:t>критериальной</w:t>
      </w:r>
      <w:proofErr w:type="spellEnd"/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основе, в форме письменных заключений учителя, по итогам проверки самостоятельных работ.</w:t>
      </w:r>
    </w:p>
    <w:p>
      <w:pPr>
        <w:shd w:val="clear" w:color="auto" w:fill="FFFFFF"/>
        <w:tabs>
          <w:tab w:val="left" w:pos="619"/>
        </w:tabs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Style w:val="ad"/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Таким образом, при формировании учебного плана школы на начальном уровне обучения соблюдена преемственность обязательной части и части плана, формируемой участниками образовательного процесса; в полном объёме сохранено содержание, являющееся обязательным, структура и содержание учебного плана ориентированы на реализацию задач, поставленных перед педагогическим коллективом начальной школы.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Преподавание предметов обеспечено необходимым программно-методическим материалом согласно Федеральному перечню учебников, рекомендованных (допущенных) к использованию в образовательных учреждениях на 2021-2022 учебный год, реализующих федеральные образовательные стандарты начального общего образования.</w:t>
      </w:r>
    </w:p>
    <w:p>
      <w:pPr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Основная образовательная программа начального общего образования реализуется через учебный план и внеурочную деятельность. </w:t>
      </w:r>
    </w:p>
    <w:p>
      <w:pPr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Внеурочная деятельность нашла отражение в образовательной программе школы. Внеурочная деятельность организуется по направлениям развития личности: спортивн</w:t>
      </w:r>
      <w:proofErr w:type="gramStart"/>
      <w:r>
        <w:rPr>
          <w:rFonts w:ascii="Times New Roman" w:hAnsi="Times New Roman" w:cs="Times New Roman"/>
          <w:sz w:val="28"/>
          <w:szCs w:val="28"/>
        </w:rPr>
        <w:t>о-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оздоровительное, духовно-нравственное, социальное, </w:t>
      </w:r>
      <w:proofErr w:type="spellStart"/>
      <w:r>
        <w:rPr>
          <w:rFonts w:ascii="Times New Roman" w:hAnsi="Times New Roman" w:cs="Times New Roman"/>
          <w:sz w:val="28"/>
          <w:szCs w:val="28"/>
        </w:rPr>
        <w:t>общеинтеллектуальное</w:t>
      </w:r>
      <w:proofErr w:type="spellEnd"/>
      <w:r>
        <w:rPr>
          <w:rFonts w:ascii="Times New Roman" w:hAnsi="Times New Roman" w:cs="Times New Roman"/>
          <w:sz w:val="28"/>
          <w:szCs w:val="28"/>
        </w:rPr>
        <w:t>, общекультурное, в том числе через такие формы, как экскурсии, секции, круглые столы, олимпиады, соревнования, общественно-полезные практики.</w:t>
      </w:r>
    </w:p>
    <w:p>
      <w:pPr>
        <w:ind w:firstLine="567"/>
        <w:contextualSpacing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Освоение основных образовательных программ начального общего образования завершается итоговой аттестацией. Нормативный срок освоения ООП НОО составляет 4 года.</w:t>
      </w:r>
    </w:p>
    <w:p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>
      <w:pPr>
        <w:rPr>
          <w:rStyle w:val="markedcontent"/>
          <w:rFonts w:asciiTheme="majorBidi" w:hAnsiTheme="majorBidi" w:cstheme="majorBidi"/>
          <w:sz w:val="28"/>
          <w:szCs w:val="28"/>
        </w:rPr>
      </w:pPr>
    </w:p>
    <w:p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  <w:sectPr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p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МБОУ «Новочершилинская начальная школа-детский сад»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166"/>
        <w:gridCol w:w="4190"/>
        <w:gridCol w:w="1603"/>
        <w:gridCol w:w="1603"/>
        <w:gridCol w:w="1603"/>
        <w:gridCol w:w="1603"/>
      </w:tblGrid>
      <w:tr>
        <w:tc>
          <w:tcPr>
            <w:tcW w:w="6000" w:type="dxa"/>
            <w:vMerge w:val="restart"/>
            <w:shd w:val="clear" w:color="auto" w:fill="D9D9D9"/>
          </w:tcPr>
          <w:p>
            <w:r>
              <w:rPr>
                <w:b/>
              </w:rPr>
              <w:t>Предметная область</w:t>
            </w:r>
          </w:p>
        </w:tc>
        <w:tc>
          <w:tcPr>
            <w:tcW w:w="6000" w:type="dxa"/>
            <w:vMerge w:val="restart"/>
            <w:shd w:val="clear" w:color="auto" w:fill="D9D9D9"/>
          </w:tcPr>
          <w:p>
            <w:r>
              <w:rPr>
                <w:b/>
              </w:rPr>
              <w:t>Учебный предмет</w:t>
            </w:r>
          </w:p>
        </w:tc>
        <w:tc>
          <w:tcPr>
            <w:tcW w:w="9700" w:type="dxa"/>
            <w:gridSpan w:val="4"/>
            <w:shd w:val="clear" w:color="auto" w:fill="D9D9D9"/>
          </w:tcPr>
          <w:p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>
        <w:tc>
          <w:tcPr>
            <w:tcW w:w="2425" w:type="dxa"/>
            <w:vMerge/>
          </w:tcPr>
          <w:p/>
        </w:tc>
        <w:tc>
          <w:tcPr>
            <w:tcW w:w="2425" w:type="dxa"/>
            <w:vMerge/>
          </w:tcPr>
          <w:p/>
        </w:tc>
        <w:tc>
          <w:tcPr>
            <w:tcW w:w="0" w:type="dxa"/>
            <w:shd w:val="clear" w:color="auto" w:fill="D9D9D9"/>
          </w:tcPr>
          <w:p>
            <w:pPr>
              <w:jc w:val="center"/>
            </w:pPr>
            <w:r>
              <w:rPr>
                <w:b/>
              </w:rPr>
              <w:t>1</w:t>
            </w:r>
          </w:p>
        </w:tc>
        <w:tc>
          <w:tcPr>
            <w:tcW w:w="0" w:type="dxa"/>
            <w:shd w:val="clear" w:color="auto" w:fill="D9D9D9"/>
          </w:tcPr>
          <w:p>
            <w:pPr>
              <w:jc w:val="center"/>
            </w:pPr>
            <w:r>
              <w:rPr>
                <w:b/>
              </w:rPr>
              <w:t>2</w:t>
            </w:r>
          </w:p>
        </w:tc>
        <w:tc>
          <w:tcPr>
            <w:tcW w:w="0" w:type="dxa"/>
            <w:shd w:val="clear" w:color="auto" w:fill="D9D9D9"/>
          </w:tcPr>
          <w:p>
            <w:pPr>
              <w:jc w:val="center"/>
            </w:pPr>
            <w:r>
              <w:rPr>
                <w:b/>
              </w:rPr>
              <w:t>3</w:t>
            </w:r>
          </w:p>
        </w:tc>
        <w:tc>
          <w:tcPr>
            <w:tcW w:w="0" w:type="dxa"/>
            <w:shd w:val="clear" w:color="auto" w:fill="D9D9D9"/>
          </w:tcPr>
          <w:p>
            <w:pPr>
              <w:jc w:val="center"/>
            </w:pPr>
            <w:r>
              <w:rPr>
                <w:b/>
              </w:rPr>
              <w:t>4</w:t>
            </w:r>
          </w:p>
        </w:tc>
      </w:tr>
      <w:tr>
        <w:tc>
          <w:tcPr>
            <w:tcW w:w="14550" w:type="dxa"/>
            <w:gridSpan w:val="6"/>
            <w:shd w:val="clear" w:color="auto" w:fill="FFFFB3"/>
          </w:tcPr>
          <w:p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>
        <w:tc>
          <w:tcPr>
            <w:tcW w:w="2425" w:type="dxa"/>
            <w:vMerge w:val="restart"/>
          </w:tcPr>
          <w:p>
            <w:r>
              <w:t>Русский язык и литературное чтение</w:t>
            </w:r>
          </w:p>
        </w:tc>
        <w:tc>
          <w:tcPr>
            <w:tcW w:w="2425" w:type="dxa"/>
          </w:tcPr>
          <w:p>
            <w:r>
              <w:t>Русский язык</w:t>
            </w:r>
          </w:p>
        </w:tc>
        <w:tc>
          <w:tcPr>
            <w:tcW w:w="2425" w:type="dxa"/>
          </w:tcPr>
          <w:p>
            <w:pPr>
              <w:jc w:val="center"/>
            </w:pPr>
            <w:r>
              <w:t>5</w:t>
            </w:r>
          </w:p>
        </w:tc>
        <w:tc>
          <w:tcPr>
            <w:tcW w:w="2425" w:type="dxa"/>
          </w:tcPr>
          <w:p>
            <w:pPr>
              <w:jc w:val="center"/>
            </w:pPr>
            <w:r>
              <w:t>5</w:t>
            </w:r>
          </w:p>
        </w:tc>
        <w:tc>
          <w:tcPr>
            <w:tcW w:w="2425" w:type="dxa"/>
          </w:tcPr>
          <w:p>
            <w:pPr>
              <w:jc w:val="center"/>
            </w:pPr>
            <w:r>
              <w:t>5</w:t>
            </w:r>
          </w:p>
        </w:tc>
        <w:tc>
          <w:tcPr>
            <w:tcW w:w="2425" w:type="dxa"/>
          </w:tcPr>
          <w:p>
            <w:pPr>
              <w:jc w:val="center"/>
            </w:pPr>
            <w:r>
              <w:t>5</w:t>
            </w:r>
          </w:p>
        </w:tc>
      </w:tr>
      <w:tr>
        <w:tc>
          <w:tcPr>
            <w:tcW w:w="2425" w:type="dxa"/>
            <w:vMerge/>
          </w:tcPr>
          <w:p/>
        </w:tc>
        <w:tc>
          <w:tcPr>
            <w:tcW w:w="2425" w:type="dxa"/>
          </w:tcPr>
          <w:p>
            <w:r>
              <w:t>Литературное чтение</w:t>
            </w:r>
          </w:p>
        </w:tc>
        <w:tc>
          <w:tcPr>
            <w:tcW w:w="2425" w:type="dxa"/>
          </w:tcPr>
          <w:p>
            <w:pPr>
              <w:jc w:val="center"/>
            </w:pPr>
            <w:r>
              <w:t>3</w:t>
            </w:r>
          </w:p>
        </w:tc>
        <w:tc>
          <w:tcPr>
            <w:tcW w:w="2425" w:type="dxa"/>
          </w:tcPr>
          <w:p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>
            <w:pPr>
              <w:jc w:val="center"/>
            </w:pPr>
            <w:r>
              <w:t>3</w:t>
            </w:r>
          </w:p>
        </w:tc>
      </w:tr>
      <w:tr>
        <w:tc>
          <w:tcPr>
            <w:tcW w:w="2425" w:type="dxa"/>
          </w:tcPr>
          <w:p>
            <w:r>
              <w:t>Иностранный язык</w:t>
            </w:r>
          </w:p>
        </w:tc>
        <w:tc>
          <w:tcPr>
            <w:tcW w:w="2425" w:type="dxa"/>
          </w:tcPr>
          <w:p>
            <w:r>
              <w:t>Иностранный язык</w:t>
            </w:r>
          </w:p>
        </w:tc>
        <w:tc>
          <w:tcPr>
            <w:tcW w:w="2425" w:type="dxa"/>
          </w:tcPr>
          <w:p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>
            <w:pPr>
              <w:jc w:val="center"/>
            </w:pPr>
            <w:r>
              <w:t>2</w:t>
            </w:r>
          </w:p>
        </w:tc>
      </w:tr>
      <w:tr>
        <w:tc>
          <w:tcPr>
            <w:tcW w:w="2425" w:type="dxa"/>
          </w:tcPr>
          <w:p>
            <w:r>
              <w:t>Математика и информатика</w:t>
            </w:r>
          </w:p>
        </w:tc>
        <w:tc>
          <w:tcPr>
            <w:tcW w:w="2425" w:type="dxa"/>
          </w:tcPr>
          <w:p>
            <w:r>
              <w:t>Математика</w:t>
            </w:r>
          </w:p>
        </w:tc>
        <w:tc>
          <w:tcPr>
            <w:tcW w:w="2425" w:type="dxa"/>
          </w:tcPr>
          <w:p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>
            <w:pPr>
              <w:jc w:val="center"/>
            </w:pPr>
            <w:r>
              <w:t>4</w:t>
            </w:r>
          </w:p>
        </w:tc>
      </w:tr>
      <w:tr>
        <w:tc>
          <w:tcPr>
            <w:tcW w:w="2425" w:type="dxa"/>
          </w:tcPr>
          <w:p>
            <w:r>
              <w:t>Обществознание и естествознание ("окружающий мир")</w:t>
            </w:r>
          </w:p>
        </w:tc>
        <w:tc>
          <w:tcPr>
            <w:tcW w:w="2425" w:type="dxa"/>
          </w:tcPr>
          <w:p>
            <w:r>
              <w:t>Окружающий мир</w:t>
            </w:r>
          </w:p>
        </w:tc>
        <w:tc>
          <w:tcPr>
            <w:tcW w:w="2425" w:type="dxa"/>
          </w:tcPr>
          <w:p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>
            <w:pPr>
              <w:jc w:val="center"/>
            </w:pPr>
            <w:r>
              <w:t>2</w:t>
            </w:r>
          </w:p>
        </w:tc>
      </w:tr>
      <w:tr>
        <w:tc>
          <w:tcPr>
            <w:tcW w:w="2425" w:type="dxa"/>
          </w:tcPr>
          <w:p>
            <w:r>
              <w:t>Основы религиозных культур и светской этики</w:t>
            </w:r>
          </w:p>
        </w:tc>
        <w:tc>
          <w:tcPr>
            <w:tcW w:w="2425" w:type="dxa"/>
          </w:tcPr>
          <w:p>
            <w:r>
              <w:t>Основы религиозных культур и светской этики</w:t>
            </w:r>
          </w:p>
        </w:tc>
        <w:tc>
          <w:tcPr>
            <w:tcW w:w="2425" w:type="dxa"/>
          </w:tcPr>
          <w:p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>
            <w:pPr>
              <w:jc w:val="center"/>
            </w:pPr>
            <w:r>
              <w:t>1</w:t>
            </w:r>
          </w:p>
        </w:tc>
      </w:tr>
      <w:tr>
        <w:tc>
          <w:tcPr>
            <w:tcW w:w="2425" w:type="dxa"/>
            <w:vMerge w:val="restart"/>
          </w:tcPr>
          <w:p>
            <w:r>
              <w:t>Искусство</w:t>
            </w:r>
          </w:p>
        </w:tc>
        <w:tc>
          <w:tcPr>
            <w:tcW w:w="2425" w:type="dxa"/>
          </w:tcPr>
          <w:p>
            <w:r>
              <w:t>Изобразительное искусство</w:t>
            </w:r>
          </w:p>
        </w:tc>
        <w:tc>
          <w:tcPr>
            <w:tcW w:w="2425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>
            <w:pPr>
              <w:jc w:val="center"/>
            </w:pPr>
            <w:r>
              <w:t>1</w:t>
            </w:r>
          </w:p>
        </w:tc>
      </w:tr>
      <w:tr>
        <w:tc>
          <w:tcPr>
            <w:tcW w:w="2425" w:type="dxa"/>
            <w:vMerge/>
          </w:tcPr>
          <w:p/>
        </w:tc>
        <w:tc>
          <w:tcPr>
            <w:tcW w:w="2425" w:type="dxa"/>
          </w:tcPr>
          <w:p>
            <w:r>
              <w:t>Музыка</w:t>
            </w:r>
          </w:p>
        </w:tc>
        <w:tc>
          <w:tcPr>
            <w:tcW w:w="2425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>
            <w:pPr>
              <w:jc w:val="center"/>
            </w:pPr>
            <w:r>
              <w:t>1</w:t>
            </w:r>
          </w:p>
        </w:tc>
      </w:tr>
      <w:tr>
        <w:tc>
          <w:tcPr>
            <w:tcW w:w="2425" w:type="dxa"/>
          </w:tcPr>
          <w:p>
            <w:r>
              <w:t>Технология</w:t>
            </w:r>
          </w:p>
        </w:tc>
        <w:tc>
          <w:tcPr>
            <w:tcW w:w="2425" w:type="dxa"/>
          </w:tcPr>
          <w:p>
            <w:r>
              <w:t>Технология</w:t>
            </w:r>
          </w:p>
        </w:tc>
        <w:tc>
          <w:tcPr>
            <w:tcW w:w="2425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>
            <w:pPr>
              <w:jc w:val="center"/>
            </w:pPr>
            <w:r>
              <w:t>1</w:t>
            </w:r>
          </w:p>
        </w:tc>
      </w:tr>
      <w:tr>
        <w:tc>
          <w:tcPr>
            <w:tcW w:w="2425" w:type="dxa"/>
          </w:tcPr>
          <w:p>
            <w:r>
              <w:t>Физическая культура</w:t>
            </w:r>
          </w:p>
        </w:tc>
        <w:tc>
          <w:tcPr>
            <w:tcW w:w="2425" w:type="dxa"/>
          </w:tcPr>
          <w:p>
            <w:r>
              <w:t>Физическая культура</w:t>
            </w:r>
          </w:p>
        </w:tc>
        <w:tc>
          <w:tcPr>
            <w:tcW w:w="2425" w:type="dxa"/>
          </w:tcPr>
          <w:p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>
            <w:pPr>
              <w:jc w:val="center"/>
            </w:pPr>
            <w:r>
              <w:t>3</w:t>
            </w:r>
          </w:p>
        </w:tc>
        <w:tc>
          <w:tcPr>
            <w:tcW w:w="2425" w:type="dxa"/>
          </w:tcPr>
          <w:p>
            <w:pPr>
              <w:jc w:val="center"/>
            </w:pPr>
            <w:r>
              <w:t>3</w:t>
            </w:r>
          </w:p>
        </w:tc>
        <w:tc>
          <w:tcPr>
            <w:tcW w:w="2425" w:type="dxa"/>
          </w:tcPr>
          <w:p>
            <w:pPr>
              <w:jc w:val="center"/>
            </w:pPr>
            <w:r>
              <w:t>3</w:t>
            </w:r>
          </w:p>
        </w:tc>
      </w:tr>
      <w:tr>
        <w:tc>
          <w:tcPr>
            <w:tcW w:w="4850" w:type="dxa"/>
            <w:gridSpan w:val="2"/>
            <w:shd w:val="clear" w:color="auto" w:fill="00FF00"/>
          </w:tcPr>
          <w:p>
            <w:r>
              <w:t>Итого</w:t>
            </w:r>
          </w:p>
        </w:tc>
        <w:tc>
          <w:tcPr>
            <w:tcW w:w="2425" w:type="dxa"/>
            <w:shd w:val="clear" w:color="auto" w:fill="00FF00"/>
          </w:tcPr>
          <w:p>
            <w:pPr>
              <w:jc w:val="center"/>
            </w:pPr>
            <w:r>
              <w:t>19</w:t>
            </w:r>
          </w:p>
        </w:tc>
        <w:tc>
          <w:tcPr>
            <w:tcW w:w="2425" w:type="dxa"/>
            <w:shd w:val="clear" w:color="auto" w:fill="00FF00"/>
          </w:tcPr>
          <w:p>
            <w:pPr>
              <w:jc w:val="center"/>
            </w:pPr>
            <w:r>
              <w:t>23</w:t>
            </w:r>
          </w:p>
        </w:tc>
        <w:tc>
          <w:tcPr>
            <w:tcW w:w="2425" w:type="dxa"/>
            <w:shd w:val="clear" w:color="auto" w:fill="00FF00"/>
          </w:tcPr>
          <w:p>
            <w:pPr>
              <w:jc w:val="center"/>
            </w:pPr>
            <w:r>
              <w:t>23</w:t>
            </w:r>
          </w:p>
        </w:tc>
        <w:tc>
          <w:tcPr>
            <w:tcW w:w="2425" w:type="dxa"/>
            <w:shd w:val="clear" w:color="auto" w:fill="00FF00"/>
          </w:tcPr>
          <w:p>
            <w:pPr>
              <w:jc w:val="center"/>
            </w:pPr>
            <w:r>
              <w:t>23</w:t>
            </w:r>
          </w:p>
        </w:tc>
      </w:tr>
      <w:tr>
        <w:tc>
          <w:tcPr>
            <w:tcW w:w="14550" w:type="dxa"/>
            <w:gridSpan w:val="6"/>
            <w:shd w:val="clear" w:color="auto" w:fill="FFFFB3"/>
          </w:tcPr>
          <w:p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>
        <w:tc>
          <w:tcPr>
            <w:tcW w:w="4850" w:type="dxa"/>
            <w:gridSpan w:val="2"/>
            <w:shd w:val="clear" w:color="auto" w:fill="D9D9D9"/>
          </w:tcPr>
          <w:p>
            <w:r>
              <w:rPr>
                <w:b/>
              </w:rPr>
              <w:t>Наименование учебного курса</w:t>
            </w:r>
          </w:p>
        </w:tc>
        <w:tc>
          <w:tcPr>
            <w:tcW w:w="2425" w:type="dxa"/>
            <w:shd w:val="clear" w:color="auto" w:fill="D9D9D9"/>
          </w:tcPr>
          <w:p/>
        </w:tc>
        <w:tc>
          <w:tcPr>
            <w:tcW w:w="2425" w:type="dxa"/>
            <w:shd w:val="clear" w:color="auto" w:fill="D9D9D9"/>
          </w:tcPr>
          <w:p/>
        </w:tc>
        <w:tc>
          <w:tcPr>
            <w:tcW w:w="2425" w:type="dxa"/>
            <w:shd w:val="clear" w:color="auto" w:fill="D9D9D9"/>
          </w:tcPr>
          <w:p/>
        </w:tc>
        <w:tc>
          <w:tcPr>
            <w:tcW w:w="2425" w:type="dxa"/>
            <w:shd w:val="clear" w:color="auto" w:fill="D9D9D9"/>
          </w:tcPr>
          <w:p/>
        </w:tc>
      </w:tr>
      <w:tr>
        <w:tc>
          <w:tcPr>
            <w:tcW w:w="4850" w:type="dxa"/>
            <w:gridSpan w:val="2"/>
          </w:tcPr>
          <w:p>
            <w:r>
              <w:t>Государственный  язык (татарский)</w:t>
            </w:r>
          </w:p>
        </w:tc>
        <w:tc>
          <w:tcPr>
            <w:tcW w:w="2425" w:type="dxa"/>
          </w:tcPr>
          <w:p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>
            <w:pPr>
              <w:jc w:val="center"/>
            </w:pPr>
            <w:r>
              <w:t>2</w:t>
            </w:r>
          </w:p>
        </w:tc>
      </w:tr>
      <w:tr>
        <w:tc>
          <w:tcPr>
            <w:tcW w:w="4850" w:type="dxa"/>
            <w:gridSpan w:val="2"/>
          </w:tcPr>
          <w:p>
            <w:r>
              <w:t>Физическая культура</w:t>
            </w:r>
          </w:p>
        </w:tc>
        <w:tc>
          <w:tcPr>
            <w:tcW w:w="2425" w:type="dxa"/>
          </w:tcPr>
          <w:p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>
            <w:pPr>
              <w:jc w:val="center"/>
            </w:pPr>
            <w:r>
              <w:t>1</w:t>
            </w:r>
          </w:p>
        </w:tc>
      </w:tr>
      <w:tr>
        <w:tc>
          <w:tcPr>
            <w:tcW w:w="4850" w:type="dxa"/>
            <w:gridSpan w:val="2"/>
            <w:shd w:val="clear" w:color="auto" w:fill="00FF00"/>
          </w:tcPr>
          <w:p>
            <w:r>
              <w:t>Итого</w:t>
            </w:r>
          </w:p>
        </w:tc>
        <w:tc>
          <w:tcPr>
            <w:tcW w:w="2425" w:type="dxa"/>
            <w:shd w:val="clear" w:color="auto" w:fill="00FF00"/>
          </w:tcPr>
          <w:p>
            <w:pPr>
              <w:jc w:val="center"/>
            </w:pPr>
            <w:r>
              <w:t>2</w:t>
            </w:r>
          </w:p>
        </w:tc>
        <w:tc>
          <w:tcPr>
            <w:tcW w:w="2425" w:type="dxa"/>
            <w:shd w:val="clear" w:color="auto" w:fill="00FF00"/>
          </w:tcPr>
          <w:p>
            <w:pPr>
              <w:jc w:val="center"/>
            </w:pPr>
            <w:r>
              <w:t>3</w:t>
            </w:r>
          </w:p>
        </w:tc>
        <w:tc>
          <w:tcPr>
            <w:tcW w:w="2425" w:type="dxa"/>
            <w:shd w:val="clear" w:color="auto" w:fill="00FF00"/>
          </w:tcPr>
          <w:p>
            <w:pPr>
              <w:jc w:val="center"/>
            </w:pPr>
            <w:r>
              <w:t>3</w:t>
            </w:r>
          </w:p>
        </w:tc>
        <w:tc>
          <w:tcPr>
            <w:tcW w:w="2425" w:type="dxa"/>
            <w:shd w:val="clear" w:color="auto" w:fill="00FF00"/>
          </w:tcPr>
          <w:p>
            <w:pPr>
              <w:jc w:val="center"/>
            </w:pPr>
            <w:r>
              <w:t>3</w:t>
            </w:r>
          </w:p>
        </w:tc>
      </w:tr>
      <w:tr>
        <w:tc>
          <w:tcPr>
            <w:tcW w:w="4850" w:type="dxa"/>
            <w:gridSpan w:val="2"/>
            <w:shd w:val="clear" w:color="auto" w:fill="00FF00"/>
          </w:tcPr>
          <w:p>
            <w:r>
              <w:t>ИТОГО недельная нагрузка</w:t>
            </w:r>
          </w:p>
        </w:tc>
        <w:tc>
          <w:tcPr>
            <w:tcW w:w="2425" w:type="dxa"/>
            <w:shd w:val="clear" w:color="auto" w:fill="00FF00"/>
          </w:tcPr>
          <w:p>
            <w:pPr>
              <w:jc w:val="center"/>
            </w:pPr>
            <w:r>
              <w:t>21</w:t>
            </w:r>
          </w:p>
        </w:tc>
        <w:tc>
          <w:tcPr>
            <w:tcW w:w="2425" w:type="dxa"/>
            <w:shd w:val="clear" w:color="auto" w:fill="00FF00"/>
          </w:tcPr>
          <w:p>
            <w:pPr>
              <w:jc w:val="center"/>
            </w:pPr>
            <w:r>
              <w:t>26</w:t>
            </w:r>
          </w:p>
        </w:tc>
        <w:tc>
          <w:tcPr>
            <w:tcW w:w="2425" w:type="dxa"/>
            <w:shd w:val="clear" w:color="auto" w:fill="00FF00"/>
          </w:tcPr>
          <w:p>
            <w:pPr>
              <w:jc w:val="center"/>
            </w:pPr>
            <w:r>
              <w:t>26</w:t>
            </w:r>
          </w:p>
        </w:tc>
        <w:tc>
          <w:tcPr>
            <w:tcW w:w="2425" w:type="dxa"/>
            <w:shd w:val="clear" w:color="auto" w:fill="00FF00"/>
          </w:tcPr>
          <w:p>
            <w:pPr>
              <w:jc w:val="center"/>
            </w:pPr>
            <w:r>
              <w:t>26</w:t>
            </w:r>
          </w:p>
        </w:tc>
      </w:tr>
      <w:tr>
        <w:tc>
          <w:tcPr>
            <w:tcW w:w="4850" w:type="dxa"/>
            <w:gridSpan w:val="2"/>
            <w:shd w:val="clear" w:color="auto" w:fill="FCE3FC"/>
          </w:tcPr>
          <w:p>
            <w:r>
              <w:t>Количество учебных недель</w:t>
            </w:r>
          </w:p>
        </w:tc>
        <w:tc>
          <w:tcPr>
            <w:tcW w:w="2425" w:type="dxa"/>
            <w:shd w:val="clear" w:color="auto" w:fill="FCE3FC"/>
          </w:tcPr>
          <w:p>
            <w:pPr>
              <w:jc w:val="center"/>
            </w:pPr>
            <w:r>
              <w:t>33</w:t>
            </w:r>
          </w:p>
        </w:tc>
        <w:tc>
          <w:tcPr>
            <w:tcW w:w="2425" w:type="dxa"/>
            <w:shd w:val="clear" w:color="auto" w:fill="FCE3FC"/>
          </w:tcPr>
          <w:p>
            <w:pPr>
              <w:jc w:val="center"/>
            </w:pPr>
            <w:r>
              <w:t>34</w:t>
            </w:r>
          </w:p>
        </w:tc>
        <w:tc>
          <w:tcPr>
            <w:tcW w:w="2425" w:type="dxa"/>
            <w:shd w:val="clear" w:color="auto" w:fill="FCE3FC"/>
          </w:tcPr>
          <w:p>
            <w:pPr>
              <w:jc w:val="center"/>
            </w:pPr>
            <w:r>
              <w:t>34</w:t>
            </w:r>
          </w:p>
        </w:tc>
        <w:tc>
          <w:tcPr>
            <w:tcW w:w="2425" w:type="dxa"/>
            <w:shd w:val="clear" w:color="auto" w:fill="FCE3FC"/>
          </w:tcPr>
          <w:p>
            <w:pPr>
              <w:jc w:val="center"/>
            </w:pPr>
            <w:r>
              <w:t>34</w:t>
            </w:r>
          </w:p>
        </w:tc>
      </w:tr>
      <w:tr>
        <w:tc>
          <w:tcPr>
            <w:tcW w:w="4850" w:type="dxa"/>
            <w:gridSpan w:val="2"/>
            <w:shd w:val="clear" w:color="auto" w:fill="FCE3FC"/>
          </w:tcPr>
          <w:p>
            <w:r>
              <w:t>Всего часов в год</w:t>
            </w:r>
          </w:p>
        </w:tc>
        <w:tc>
          <w:tcPr>
            <w:tcW w:w="2425" w:type="dxa"/>
            <w:shd w:val="clear" w:color="auto" w:fill="FCE3FC"/>
          </w:tcPr>
          <w:p>
            <w:pPr>
              <w:jc w:val="center"/>
            </w:pPr>
            <w:r>
              <w:t>693</w:t>
            </w:r>
          </w:p>
        </w:tc>
        <w:tc>
          <w:tcPr>
            <w:tcW w:w="2425" w:type="dxa"/>
            <w:shd w:val="clear" w:color="auto" w:fill="FCE3FC"/>
          </w:tcPr>
          <w:p>
            <w:pPr>
              <w:jc w:val="center"/>
            </w:pPr>
            <w:r>
              <w:t>884</w:t>
            </w:r>
          </w:p>
        </w:tc>
        <w:tc>
          <w:tcPr>
            <w:tcW w:w="2425" w:type="dxa"/>
            <w:shd w:val="clear" w:color="auto" w:fill="FCE3FC"/>
          </w:tcPr>
          <w:p>
            <w:pPr>
              <w:jc w:val="center"/>
            </w:pPr>
            <w:r>
              <w:t>884</w:t>
            </w:r>
          </w:p>
        </w:tc>
        <w:tc>
          <w:tcPr>
            <w:tcW w:w="2425" w:type="dxa"/>
            <w:shd w:val="clear" w:color="auto" w:fill="FCE3FC"/>
          </w:tcPr>
          <w:p>
            <w:pPr>
              <w:jc w:val="center"/>
            </w:pPr>
            <w:r>
              <w:t>884</w:t>
            </w:r>
          </w:p>
        </w:tc>
      </w:tr>
    </w:tbl>
    <w:p/>
    <w:p/>
    <w:p/>
    <w:p/>
    <w:p/>
    <w:p>
      <w:pPr>
        <w:jc w:val="both"/>
        <w:rPr>
          <w:rFonts w:ascii="Times New Roman" w:hAnsi="Times New Roman" w:cs="Times New Roman"/>
          <w:sz w:val="26"/>
          <w:szCs w:val="26"/>
        </w:rPr>
      </w:pPr>
    </w:p>
    <w:p>
      <w:pPr>
        <w:pStyle w:val="ac"/>
        <w:jc w:val="right"/>
      </w:pPr>
      <w:r>
        <w:t xml:space="preserve">Приложение 1 к Учебному плану </w:t>
      </w:r>
    </w:p>
    <w:p>
      <w:pPr>
        <w:pStyle w:val="ac"/>
        <w:jc w:val="right"/>
      </w:pPr>
      <w:proofErr w:type="gramStart"/>
      <w:r>
        <w:t>принят</w:t>
      </w:r>
      <w:proofErr w:type="gramEnd"/>
      <w:r>
        <w:t xml:space="preserve"> на заседании педагогического совета №1</w:t>
      </w:r>
    </w:p>
    <w:p>
      <w:pPr>
        <w:pStyle w:val="ac"/>
        <w:jc w:val="right"/>
      </w:pPr>
      <w:r>
        <w:t xml:space="preserve"> от 29.08.2022 г. </w:t>
      </w:r>
    </w:p>
    <w:p>
      <w:pPr>
        <w:pStyle w:val="ac"/>
        <w:jc w:val="right"/>
      </w:pPr>
      <w:r>
        <w:t>Приказ №</w:t>
      </w:r>
      <w:r>
        <w:rPr>
          <w:u w:val="single"/>
        </w:rPr>
        <w:t xml:space="preserve">  49 </w:t>
      </w:r>
      <w:r>
        <w:t xml:space="preserve">- ОД от </w:t>
      </w:r>
      <w:r>
        <w:rPr>
          <w:u w:val="single"/>
        </w:rPr>
        <w:t>_29_.08.2022</w:t>
      </w:r>
      <w:r>
        <w:t xml:space="preserve"> г</w:t>
      </w:r>
    </w:p>
    <w:p>
      <w:pPr>
        <w:pStyle w:val="ac"/>
        <w:jc w:val="center"/>
        <w:rPr>
          <w:sz w:val="24"/>
          <w:szCs w:val="24"/>
        </w:rPr>
      </w:pPr>
    </w:p>
    <w:p>
      <w:pPr>
        <w:pStyle w:val="ac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Формы</w:t>
      </w:r>
    </w:p>
    <w:p>
      <w:pPr>
        <w:pStyle w:val="ac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проведения промежуточной аттестации по учебным предметам</w:t>
      </w:r>
    </w:p>
    <w:p>
      <w:pPr>
        <w:pStyle w:val="ac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МБОУ «Новочершилинская НШ-ДС» МО «ЛМР» РТ на 2022-2023 учебный год</w:t>
      </w:r>
    </w:p>
    <w:p>
      <w:pPr>
        <w:pStyle w:val="ac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Начальное общее образование</w:t>
      </w:r>
    </w:p>
    <w:tbl>
      <w:tblPr>
        <w:tblW w:w="146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60"/>
        <w:gridCol w:w="1333"/>
        <w:gridCol w:w="1329"/>
        <w:gridCol w:w="1249"/>
        <w:gridCol w:w="1250"/>
        <w:gridCol w:w="1249"/>
        <w:gridCol w:w="1249"/>
        <w:gridCol w:w="1249"/>
        <w:gridCol w:w="1249"/>
        <w:gridCol w:w="1249"/>
        <w:gridCol w:w="1249"/>
        <w:gridCol w:w="1033"/>
      </w:tblGrid>
      <w:tr>
        <w:trPr>
          <w:cantSplit/>
          <w:trHeight w:val="3266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Предметы</w:t>
            </w:r>
          </w:p>
          <w:p>
            <w:pPr>
              <w:jc w:val="center"/>
              <w:rPr>
                <w:rFonts w:ascii="Times New Roman" w:hAnsi="Times New Roman" w:cs="Times New Roman"/>
              </w:rPr>
            </w:pPr>
          </w:p>
          <w:p>
            <w:pPr>
              <w:jc w:val="center"/>
              <w:rPr>
                <w:rFonts w:ascii="Times New Roman" w:hAnsi="Times New Roman" w:cs="Times New Roman"/>
              </w:rPr>
            </w:pPr>
          </w:p>
          <w:p>
            <w:pPr>
              <w:jc w:val="center"/>
              <w:rPr>
                <w:rFonts w:ascii="Times New Roman" w:hAnsi="Times New Roman" w:cs="Times New Roman"/>
              </w:rPr>
            </w:pPr>
          </w:p>
          <w:p>
            <w:pPr>
              <w:jc w:val="center"/>
              <w:rPr>
                <w:rFonts w:ascii="Times New Roman" w:hAnsi="Times New Roman" w:cs="Times New Roman"/>
              </w:rPr>
            </w:pPr>
          </w:p>
          <w:p>
            <w:pPr>
              <w:jc w:val="center"/>
              <w:rPr>
                <w:rFonts w:ascii="Times New Roman" w:hAnsi="Times New Roman" w:cs="Times New Roman"/>
              </w:rPr>
            </w:pPr>
          </w:p>
          <w:p>
            <w:pPr>
              <w:jc w:val="center"/>
              <w:rPr>
                <w:rFonts w:ascii="Times New Roman" w:hAnsi="Times New Roman" w:cs="Times New Roman"/>
              </w:rPr>
            </w:pP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Классы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Литературное чтение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Государственный</w:t>
            </w:r>
            <w:proofErr w:type="gramEnd"/>
            <w:r>
              <w:rPr>
                <w:rFonts w:ascii="Times New Roman" w:hAnsi="Times New Roman" w:cs="Times New Roman"/>
              </w:rPr>
              <w:t xml:space="preserve"> язык РТ</w:t>
            </w: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(татарский)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Английский язык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Окружающий мир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Музыка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ИЗО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Технология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Физическая культура</w:t>
            </w: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Основы религиозных культур </w:t>
            </w: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 светской этики</w:t>
            </w:r>
          </w:p>
        </w:tc>
      </w:tr>
      <w:tr>
        <w:trPr>
          <w:trHeight w:val="283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bookmarkStart w:id="0" w:name="_GoBack"/>
            <w:bookmarkEnd w:id="0"/>
            <w:r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КР</w:t>
            </w:r>
            <w:proofErr w:type="gramEnd"/>
          </w:p>
        </w:tc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КР</w:t>
            </w:r>
            <w:proofErr w:type="gramEnd"/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КС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КР</w:t>
            </w:r>
            <w:proofErr w:type="gramEnd"/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КР</w:t>
            </w:r>
            <w:proofErr w:type="gramEnd"/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КР</w:t>
            </w:r>
            <w:proofErr w:type="gramEnd"/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КР</w:t>
            </w:r>
            <w:proofErr w:type="gramEnd"/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КР</w:t>
            </w:r>
            <w:proofErr w:type="gramEnd"/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КР</w:t>
            </w:r>
            <w:proofErr w:type="gramEnd"/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>
        <w:trPr>
          <w:trHeight w:val="465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>
        <w:trPr>
          <w:trHeight w:val="356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</w:t>
            </w:r>
          </w:p>
        </w:tc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ВГО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КР</w:t>
            </w:r>
            <w:proofErr w:type="gramEnd"/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КР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КР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 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ВГО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ВГО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ВГО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ВГО</w:t>
            </w: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>
        <w:trPr>
          <w:trHeight w:val="366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4 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 </w:t>
            </w:r>
          </w:p>
        </w:tc>
        <w:tc>
          <w:tcPr>
            <w:tcW w:w="1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ВГО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КР</w:t>
            </w:r>
            <w:proofErr w:type="gramEnd"/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КР</w:t>
            </w:r>
            <w:proofErr w:type="gramEnd"/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КР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ВГО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ВГО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ВГО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ВГО</w:t>
            </w: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 </w:t>
            </w:r>
          </w:p>
        </w:tc>
      </w:tr>
    </w:tbl>
    <w:p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Условные обозначения:</w:t>
      </w:r>
    </w:p>
    <w:p>
      <w:pPr>
        <w:pStyle w:val="ac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ВГО – выставление годовой отметки  КР – контрольная работа</w:t>
      </w:r>
      <w:proofErr w:type="gramStart"/>
      <w:r>
        <w:rPr>
          <w:rFonts w:ascii="Times New Roman" w:hAnsi="Times New Roman" w:cs="Times New Roman"/>
        </w:rPr>
        <w:t xml:space="preserve"> Т</w:t>
      </w:r>
      <w:proofErr w:type="gramEnd"/>
      <w:r>
        <w:rPr>
          <w:rFonts w:ascii="Times New Roman" w:hAnsi="Times New Roman" w:cs="Times New Roman"/>
        </w:rPr>
        <w:t xml:space="preserve"> – тестирование (содержит вопросы с кратким, развернутым ответом) </w:t>
      </w:r>
    </w:p>
    <w:p>
      <w:pPr>
        <w:pStyle w:val="ac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КС - контрольное списывание   </w:t>
      </w:r>
      <w:proofErr w:type="gramStart"/>
      <w:r>
        <w:rPr>
          <w:rFonts w:ascii="Times New Roman" w:hAnsi="Times New Roman" w:cs="Times New Roman"/>
        </w:rPr>
        <w:t>П</w:t>
      </w:r>
      <w:proofErr w:type="gramEnd"/>
      <w:r>
        <w:rPr>
          <w:rFonts w:ascii="Times New Roman" w:hAnsi="Times New Roman" w:cs="Times New Roman"/>
        </w:rPr>
        <w:t xml:space="preserve"> – проект  З – зачет (устный, письменный, сдача нормативов)   ДС – диалоговое собеседование (диалог, монолог, техника чтения)   Д – диктант (включая грамматические задания)</w:t>
      </w:r>
    </w:p>
    <w:p>
      <w:pPr>
        <w:jc w:val="both"/>
        <w:rPr>
          <w:rFonts w:ascii="Times New Roman" w:hAnsi="Times New Roman" w:cs="Times New Roman"/>
          <w:sz w:val="26"/>
          <w:szCs w:val="26"/>
        </w:rPr>
      </w:pPr>
    </w:p>
    <w:p>
      <w:pPr>
        <w:jc w:val="center"/>
        <w:rPr>
          <w:rFonts w:ascii="Times New Roman" w:hAnsi="Times New Roman" w:cs="Times New Roman"/>
          <w:sz w:val="26"/>
          <w:szCs w:val="26"/>
        </w:rPr>
      </w:pPr>
    </w:p>
    <w:sectPr>
      <w:pgSz w:w="16820" w:h="11900" w:orient="landscape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0000000000000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</w:style>
  <w:style w:type="character" w:customStyle="1" w:styleId="30">
    <w:name w:val="Заголовок 3 Знак"/>
    <w:basedOn w:val="a0"/>
    <w:link w:val="3"/>
    <w:uiPriority w:val="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pPr>
      <w:ind w:left="720"/>
      <w:contextualSpacing/>
    </w:pPr>
  </w:style>
  <w:style w:type="table" w:styleId="ab">
    <w:name w:val="Table Grid"/>
    <w:basedOn w:val="a1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No Spacing"/>
    <w:uiPriority w:val="1"/>
    <w:qFormat/>
    <w:pPr>
      <w:spacing w:after="0" w:line="240" w:lineRule="auto"/>
    </w:pPr>
  </w:style>
  <w:style w:type="character" w:styleId="ad">
    <w:name w:val="Strong"/>
    <w:qFormat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</w:style>
  <w:style w:type="character" w:customStyle="1" w:styleId="30">
    <w:name w:val="Заголовок 3 Знак"/>
    <w:basedOn w:val="a0"/>
    <w:link w:val="3"/>
    <w:uiPriority w:val="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pPr>
      <w:ind w:left="720"/>
      <w:contextualSpacing/>
    </w:pPr>
  </w:style>
  <w:style w:type="table" w:styleId="ab">
    <w:name w:val="Table Grid"/>
    <w:basedOn w:val="a1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No Spacing"/>
    <w:uiPriority w:val="1"/>
    <w:qFormat/>
    <w:pPr>
      <w:spacing w:after="0" w:line="240" w:lineRule="auto"/>
    </w:pPr>
  </w:style>
  <w:style w:type="character" w:styleId="ad">
    <w:name w:val="Strong"/>
    <w:qFormat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tyles" Target="styles.xml"/><Relationship Id="rId7" Type="http://schemas.openxmlformats.org/officeDocument/2006/relationships/image" Target="media/image1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0CFA48-C692-4DAD-9E2A-9C8E126C56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2127</Words>
  <Characters>12129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Matrix</cp:lastModifiedBy>
  <cp:revision>2</cp:revision>
  <dcterms:created xsi:type="dcterms:W3CDTF">2023-04-19T08:10:00Z</dcterms:created>
  <dcterms:modified xsi:type="dcterms:W3CDTF">2023-04-19T08:10:00Z</dcterms:modified>
</cp:coreProperties>
</file>